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7" w:lineRule="auto"/>
        <w:ind w:firstLine="552"/>
        <w:jc w:val="both"/>
        <w:rPr>
          <w:rFonts w:ascii="宋体" w:hAnsi="宋体" w:eastAsia="宋体" w:cs="宋体"/>
          <w:bCs/>
          <w:spacing w:val="-4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Cs/>
          <w:spacing w:val="-4"/>
          <w:sz w:val="28"/>
          <w:szCs w:val="28"/>
          <w:lang w:eastAsia="zh-CN"/>
        </w:rPr>
        <w:t>附件5</w:t>
      </w:r>
    </w:p>
    <w:p>
      <w:pPr>
        <w:spacing w:before="201" w:line="578" w:lineRule="exact"/>
        <w:jc w:val="center"/>
        <w:rPr>
          <w:rFonts w:ascii="黑体" w:hAnsi="黑体" w:eastAsia="黑体" w:cs="黑体"/>
          <w:spacing w:val="15"/>
          <w:position w:val="10"/>
          <w:sz w:val="42"/>
          <w:szCs w:val="42"/>
          <w:lang w:eastAsia="zh-CN"/>
        </w:rPr>
      </w:pPr>
      <w:r>
        <w:rPr>
          <w:rFonts w:hint="eastAsia" w:ascii="Times New Roman" w:hAnsi="Times New Roman" w:eastAsia="Times New Roman" w:cs="Times New Roman"/>
          <w:spacing w:val="15"/>
          <w:position w:val="10"/>
          <w:sz w:val="42"/>
          <w:szCs w:val="42"/>
          <w:lang w:val="en-US" w:eastAsia="zh-CN"/>
        </w:rPr>
        <w:t xml:space="preserve">    </w:t>
      </w:r>
      <w:bookmarkStart w:id="0" w:name="_GoBack"/>
      <w:bookmarkEnd w:id="0"/>
      <w:r>
        <w:rPr>
          <w:rFonts w:ascii="Times New Roman" w:hAnsi="Times New Roman" w:eastAsia="Times New Roman" w:cs="Times New Roman"/>
          <w:spacing w:val="15"/>
          <w:position w:val="10"/>
          <w:sz w:val="42"/>
          <w:szCs w:val="42"/>
          <w:lang w:eastAsia="zh-CN"/>
        </w:rPr>
        <w:t>202</w:t>
      </w:r>
      <w:r>
        <w:rPr>
          <w:rFonts w:hint="eastAsia" w:ascii="Times New Roman" w:hAnsi="Times New Roman" w:eastAsia="Times New Roman" w:cs="Times New Roman"/>
          <w:spacing w:val="15"/>
          <w:position w:val="10"/>
          <w:sz w:val="42"/>
          <w:szCs w:val="42"/>
          <w:lang w:val="en-US" w:eastAsia="zh-CN"/>
        </w:rPr>
        <w:t>2</w:t>
      </w:r>
      <w:r>
        <w:rPr>
          <w:rFonts w:ascii="黑体" w:hAnsi="黑体" w:eastAsia="黑体" w:cs="黑体"/>
          <w:spacing w:val="15"/>
          <w:position w:val="10"/>
          <w:sz w:val="42"/>
          <w:szCs w:val="42"/>
          <w:lang w:eastAsia="zh-CN"/>
        </w:rPr>
        <w:t>年度</w:t>
      </w:r>
      <w:r>
        <w:rPr>
          <w:rFonts w:hint="eastAsia" w:ascii="黑体" w:hAnsi="黑体" w:eastAsia="黑体" w:cs="黑体"/>
          <w:spacing w:val="15"/>
          <w:position w:val="10"/>
          <w:sz w:val="42"/>
          <w:szCs w:val="42"/>
          <w:lang w:eastAsia="zh-CN"/>
        </w:rPr>
        <w:t>控建拆违执法专项</w:t>
      </w:r>
      <w:r>
        <w:rPr>
          <w:rFonts w:ascii="黑体" w:hAnsi="黑体" w:eastAsia="黑体" w:cs="黑体"/>
          <w:spacing w:val="15"/>
          <w:position w:val="10"/>
          <w:sz w:val="42"/>
          <w:szCs w:val="42"/>
          <w:lang w:eastAsia="zh-CN"/>
        </w:rPr>
        <w:t>项目支出</w:t>
      </w:r>
    </w:p>
    <w:p>
      <w:pPr>
        <w:spacing w:before="201" w:line="578" w:lineRule="exact"/>
        <w:ind w:left="2169"/>
        <w:jc w:val="center"/>
        <w:rPr>
          <w:rFonts w:ascii="黑体" w:hAnsi="黑体" w:eastAsia="黑体" w:cs="黑体"/>
          <w:sz w:val="42"/>
          <w:szCs w:val="42"/>
          <w:lang w:eastAsia="zh-CN"/>
        </w:rPr>
      </w:pPr>
      <w:r>
        <w:rPr>
          <w:rFonts w:ascii="黑体" w:hAnsi="黑体" w:eastAsia="黑体" w:cs="黑体"/>
          <w:spacing w:val="10"/>
          <w:sz w:val="42"/>
          <w:szCs w:val="42"/>
          <w:lang w:eastAsia="zh-CN"/>
        </w:rPr>
        <w:t>绩效自评报告</w:t>
      </w: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6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spacing w:line="247" w:lineRule="auto"/>
        <w:rPr>
          <w:lang w:eastAsia="zh-CN"/>
        </w:rPr>
      </w:pPr>
    </w:p>
    <w:p>
      <w:pPr>
        <w:pStyle w:val="2"/>
        <w:spacing w:before="89" w:line="221" w:lineRule="auto"/>
        <w:ind w:left="2270"/>
        <w:rPr>
          <w:sz w:val="27"/>
          <w:szCs w:val="27"/>
          <w:lang w:eastAsia="zh-CN"/>
        </w:rPr>
      </w:pPr>
      <w:r>
        <w:rPr>
          <w:spacing w:val="-22"/>
          <w:sz w:val="27"/>
          <w:szCs w:val="27"/>
          <w:lang w:eastAsia="zh-CN"/>
        </w:rPr>
        <w:t>部 门 ( 单位)名称：</w:t>
      </w:r>
      <w:r>
        <w:rPr>
          <w:spacing w:val="-22"/>
          <w:sz w:val="27"/>
          <w:szCs w:val="27"/>
          <w:u w:val="single"/>
          <w:lang w:eastAsia="zh-CN"/>
        </w:rPr>
        <w:t xml:space="preserve">  </w:t>
      </w:r>
      <w:r>
        <w:rPr>
          <w:rFonts w:hint="eastAsia"/>
          <w:spacing w:val="-22"/>
          <w:sz w:val="27"/>
          <w:szCs w:val="27"/>
          <w:u w:val="single"/>
          <w:lang w:eastAsia="zh-CN"/>
        </w:rPr>
        <w:t>汨罗市自然资源局</w:t>
      </w:r>
      <w:r>
        <w:rPr>
          <w:spacing w:val="-22"/>
          <w:sz w:val="27"/>
          <w:szCs w:val="27"/>
          <w:u w:val="single"/>
          <w:lang w:eastAsia="zh-CN"/>
        </w:rPr>
        <w:t xml:space="preserve"> (盖章)</w:t>
      </w:r>
    </w:p>
    <w:p>
      <w:pPr>
        <w:pStyle w:val="2"/>
        <w:spacing w:before="289" w:line="610" w:lineRule="exact"/>
        <w:ind w:left="3490"/>
        <w:rPr>
          <w:sz w:val="27"/>
          <w:szCs w:val="27"/>
          <w:lang w:eastAsia="zh-CN"/>
        </w:rPr>
      </w:pPr>
      <w:r>
        <w:rPr>
          <w:rFonts w:hint="eastAsia"/>
          <w:spacing w:val="-13"/>
          <w:position w:val="26"/>
          <w:sz w:val="27"/>
          <w:szCs w:val="27"/>
          <w:lang w:eastAsia="zh-CN"/>
        </w:rPr>
        <w:t>202</w:t>
      </w:r>
      <w:r>
        <w:rPr>
          <w:rFonts w:hint="eastAsia"/>
          <w:spacing w:val="-13"/>
          <w:position w:val="26"/>
          <w:sz w:val="27"/>
          <w:szCs w:val="27"/>
          <w:lang w:val="en-US" w:eastAsia="zh-CN"/>
        </w:rPr>
        <w:t>3</w:t>
      </w:r>
      <w:r>
        <w:rPr>
          <w:spacing w:val="-13"/>
          <w:position w:val="26"/>
          <w:sz w:val="27"/>
          <w:szCs w:val="27"/>
          <w:lang w:eastAsia="zh-CN"/>
        </w:rPr>
        <w:t xml:space="preserve">年  </w:t>
      </w:r>
      <w:r>
        <w:rPr>
          <w:rFonts w:hint="eastAsia"/>
          <w:spacing w:val="-13"/>
          <w:position w:val="26"/>
          <w:sz w:val="27"/>
          <w:szCs w:val="27"/>
          <w:lang w:eastAsia="zh-CN"/>
        </w:rPr>
        <w:t>6</w:t>
      </w:r>
      <w:r>
        <w:rPr>
          <w:spacing w:val="-13"/>
          <w:position w:val="26"/>
          <w:sz w:val="27"/>
          <w:szCs w:val="27"/>
          <w:lang w:eastAsia="zh-CN"/>
        </w:rPr>
        <w:t xml:space="preserve"> 月</w:t>
      </w:r>
      <w:r>
        <w:rPr>
          <w:rFonts w:hint="eastAsia"/>
          <w:spacing w:val="-13"/>
          <w:position w:val="26"/>
          <w:sz w:val="27"/>
          <w:szCs w:val="27"/>
          <w:lang w:eastAsia="zh-CN"/>
        </w:rPr>
        <w:t xml:space="preserve">  4</w:t>
      </w:r>
      <w:r>
        <w:rPr>
          <w:spacing w:val="-13"/>
          <w:position w:val="26"/>
          <w:sz w:val="27"/>
          <w:szCs w:val="27"/>
          <w:lang w:eastAsia="zh-CN"/>
        </w:rPr>
        <w:t>日</w:t>
      </w:r>
    </w:p>
    <w:p>
      <w:pPr>
        <w:pStyle w:val="2"/>
        <w:spacing w:before="1" w:line="223" w:lineRule="auto"/>
        <w:ind w:left="3560"/>
        <w:rPr>
          <w:sz w:val="24"/>
          <w:szCs w:val="24"/>
          <w:lang w:eastAsia="zh-CN"/>
        </w:rPr>
      </w:pPr>
      <w:r>
        <w:rPr>
          <w:spacing w:val="7"/>
          <w:sz w:val="24"/>
          <w:szCs w:val="24"/>
          <w:lang w:eastAsia="zh-CN"/>
        </w:rPr>
        <w:t>(此面为封面)</w:t>
      </w:r>
    </w:p>
    <w:p>
      <w:pPr>
        <w:spacing w:line="223" w:lineRule="auto"/>
        <w:rPr>
          <w:sz w:val="24"/>
          <w:szCs w:val="24"/>
          <w:lang w:eastAsia="zh-CN"/>
        </w:rPr>
        <w:sectPr>
          <w:footerReference r:id="rId3" w:type="default"/>
          <w:pgSz w:w="11900" w:h="16820"/>
          <w:pgMar w:top="1429" w:right="1782" w:bottom="1158" w:left="1450" w:header="0" w:footer="850" w:gutter="0"/>
          <w:cols w:space="720" w:num="1"/>
        </w:sectPr>
      </w:pPr>
    </w:p>
    <w:p>
      <w:pPr>
        <w:spacing w:before="137" w:line="221" w:lineRule="auto"/>
        <w:ind w:left="2336"/>
        <w:rPr>
          <w:rFonts w:ascii="黑体" w:hAnsi="黑体" w:eastAsia="黑体" w:cs="黑体"/>
          <w:sz w:val="42"/>
          <w:szCs w:val="42"/>
          <w:lang w:eastAsia="zh-CN"/>
        </w:rPr>
      </w:pPr>
      <w:r>
        <w:rPr>
          <w:rFonts w:ascii="黑体" w:hAnsi="黑体" w:eastAsia="黑体" w:cs="黑体"/>
          <w:b/>
          <w:bCs/>
          <w:spacing w:val="6"/>
          <w:sz w:val="42"/>
          <w:szCs w:val="42"/>
          <w:lang w:eastAsia="zh-CN"/>
        </w:rPr>
        <w:t>项目支出绩效评价报告</w:t>
      </w:r>
    </w:p>
    <w:p>
      <w:pPr>
        <w:spacing w:before="190" w:line="227" w:lineRule="auto"/>
        <w:ind w:left="3670"/>
        <w:rPr>
          <w:rFonts w:ascii="楷体" w:hAnsi="楷体" w:eastAsia="楷体" w:cs="楷体"/>
          <w:sz w:val="31"/>
          <w:szCs w:val="31"/>
          <w:lang w:eastAsia="zh-CN"/>
        </w:rPr>
      </w:pPr>
      <w:r>
        <w:rPr>
          <w:rFonts w:ascii="楷体" w:hAnsi="楷体" w:eastAsia="楷体" w:cs="楷体"/>
          <w:spacing w:val="25"/>
          <w:sz w:val="31"/>
          <w:szCs w:val="31"/>
          <w:lang w:eastAsia="zh-CN"/>
        </w:rPr>
        <w:t>(参考提纲)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一、项目支出基本情况</w:t>
      </w:r>
    </w:p>
    <w:p>
      <w:pPr>
        <w:spacing w:line="560" w:lineRule="exact"/>
        <w:ind w:firstLine="562" w:firstLineChars="200"/>
        <w:jc w:val="both"/>
        <w:rPr>
          <w:rFonts w:hint="eastAsia" w:eastAsia="仿宋_GB2312"/>
          <w:sz w:val="32"/>
          <w:szCs w:val="32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(一)项目支出概况。</w:t>
      </w:r>
    </w:p>
    <w:p>
      <w:pPr>
        <w:spacing w:line="560" w:lineRule="exact"/>
        <w:ind w:firstLine="640" w:firstLineChars="200"/>
        <w:jc w:val="both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控建拆违项目主要是完成拆除违法建筑，明确自然资源利用保护与利用要求、配置城市发展要素、提出分区与乡镇规划的引导要求等任务，财政安全100万元专项资金用于该项目支出。</w:t>
      </w:r>
    </w:p>
    <w:p>
      <w:pPr>
        <w:spacing w:line="560" w:lineRule="exact"/>
        <w:ind w:firstLine="562" w:firstLineChars="200"/>
        <w:jc w:val="both"/>
        <w:rPr>
          <w:rFonts w:hint="eastAsia" w:eastAsia="仿宋_GB2312"/>
          <w:sz w:val="32"/>
          <w:szCs w:val="32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(二)项目资金使用管理情况。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建立了相关业务专项财务管理制度，加强资金管理，对项目资金使用情况，实行跟踪监控。一是实行专款专用。二是健全财务机制建立专项资金管理制度、领导责任制、会计制度和出纳制度等。制定了专项资金使用管理暂行办法，从资金取得</w:t>
      </w:r>
      <w:r>
        <w:rPr>
          <w:rFonts w:eastAsia="仿宋_GB2312"/>
          <w:sz w:val="32"/>
          <w:szCs w:val="32"/>
          <w:lang w:eastAsia="zh-CN"/>
        </w:rPr>
        <w:t>-</w:t>
      </w:r>
      <w:r>
        <w:rPr>
          <w:rFonts w:hint="eastAsia" w:eastAsia="仿宋_GB2312"/>
          <w:sz w:val="32"/>
          <w:szCs w:val="32"/>
          <w:lang w:eastAsia="zh-CN"/>
        </w:rPr>
        <w:t>使用管理</w:t>
      </w:r>
      <w:r>
        <w:rPr>
          <w:rFonts w:eastAsia="仿宋_GB2312"/>
          <w:sz w:val="32"/>
          <w:szCs w:val="32"/>
          <w:lang w:eastAsia="zh-CN"/>
        </w:rPr>
        <w:t>-</w:t>
      </w:r>
      <w:r>
        <w:rPr>
          <w:rFonts w:hint="eastAsia" w:eastAsia="仿宋_GB2312"/>
          <w:sz w:val="32"/>
          <w:szCs w:val="32"/>
          <w:lang w:eastAsia="zh-CN"/>
        </w:rPr>
        <w:t>用后监管都进行了规定，加强了专项资金使用过程的控制和追踪问效。会计科目设置规范，账务处理正确，入账依据充分，各种审批手续完备三是执行预决算管理。严格按预算管理要求使用资金，严格按进度和合同拨付资金，严格执行政府采购制度；四是严格审批程序。按照“先报再审后用”的原则，由实施方提出申请，相关单位签署意见确认资金额度，经财务股初审后，报局分管领导审批。五是全程接受财政等部门的监管。严格执行国库集中支付制度，严防截留挪用资金，打造相关业务专项资金在阳光下运行。</w:t>
      </w:r>
    </w:p>
    <w:p>
      <w:pPr>
        <w:spacing w:line="560" w:lineRule="exact"/>
        <w:ind w:firstLine="562" w:firstLineChars="200"/>
        <w:jc w:val="both"/>
        <w:rPr>
          <w:rFonts w:hint="eastAsia" w:ascii="楷体" w:hAnsi="楷体" w:eastAsia="楷体" w:cs="楷体"/>
          <w:b/>
          <w:bCs/>
          <w:spacing w:val="6"/>
          <w:position w:val="16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(三)项目支出绩效目标完成程度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绩效总目标是实现我市“新增违法建设零增长，存量违法建设负增长”，在本年度取得了较好的成果，确保控建拆违数据准确程度在</w:t>
      </w:r>
      <w:r>
        <w:rPr>
          <w:rFonts w:eastAsia="仿宋_GB2312"/>
          <w:sz w:val="32"/>
          <w:szCs w:val="32"/>
          <w:lang w:eastAsia="zh-CN"/>
        </w:rPr>
        <w:t>1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eastAsia="仿宋_GB2312"/>
          <w:sz w:val="32"/>
          <w:szCs w:val="32"/>
          <w:lang w:eastAsia="zh-CN"/>
        </w:rPr>
        <w:t>2000</w:t>
      </w:r>
      <w:r>
        <w:rPr>
          <w:rFonts w:hint="eastAsia" w:eastAsia="仿宋_GB2312"/>
          <w:sz w:val="32"/>
          <w:szCs w:val="32"/>
          <w:lang w:eastAsia="zh-CN"/>
        </w:rPr>
        <w:t>基础数据以内。</w:t>
      </w:r>
    </w:p>
    <w:p>
      <w:pPr>
        <w:spacing w:line="560" w:lineRule="exact"/>
        <w:ind w:firstLine="562" w:firstLineChars="200"/>
        <w:outlineLvl w:val="0"/>
        <w:rPr>
          <w:rFonts w:hint="eastAsia"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二、绩效评价工作情况</w:t>
      </w:r>
    </w:p>
    <w:p>
      <w:pPr>
        <w:spacing w:line="560" w:lineRule="exact"/>
        <w:ind w:firstLine="640" w:firstLineChars="200"/>
        <w:outlineLvl w:val="0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本次绩效评价遵循科学规范、公开公正、绩效相关的原则，重点评价项目决策的项目目标、决策过程、资金分配，项目管理的资金到位、资金管理、组织实施，项目绩效的项目产出、项目效果等几方面。</w:t>
      </w:r>
    </w:p>
    <w:p>
      <w:pPr>
        <w:spacing w:line="560" w:lineRule="exact"/>
        <w:ind w:firstLine="562" w:firstLineChars="200"/>
        <w:outlineLvl w:val="0"/>
        <w:rPr>
          <w:rFonts w:hint="eastAsia"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三 、项目支出主要绩效及评价结论</w:t>
      </w:r>
    </w:p>
    <w:p>
      <w:pPr>
        <w:spacing w:line="560" w:lineRule="exact"/>
        <w:ind w:firstLine="640" w:firstLineChars="200"/>
        <w:outlineLvl w:val="0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成立控建拆违指挥部，专门组织实施全市控建拆违专项工作。对发现的违法建筑情况及时进行劝导，对情节严重的及时拆除及采取行政措施。为实现我市“新增违法建设零增长，存量违法建设负增长”增砖添瓦。综合得分100分，等级为“A级”。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四、 绩效评价指标分析</w:t>
      </w:r>
    </w:p>
    <w:p>
      <w:pPr>
        <w:spacing w:line="560" w:lineRule="exact"/>
        <w:ind w:firstLine="640" w:firstLineChars="200"/>
        <w:jc w:val="both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(一)项目支出决策情况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为完成实施全市控建拆违专项工作，坚决按照市控建拆违管理办法实施各项决策，并确保决策正确实行。</w:t>
      </w:r>
    </w:p>
    <w:p>
      <w:pPr>
        <w:spacing w:line="560" w:lineRule="exact"/>
        <w:ind w:firstLine="640" w:firstLineChars="200"/>
        <w:jc w:val="both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(二)项目执行过程情况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项目实施严格按照各级时间节点要求，并通过动态巡逻方式，对违建情况进行清查，确保新增违法建设零增长，存量违法建设负增长。</w:t>
      </w:r>
    </w:p>
    <w:p>
      <w:pPr>
        <w:spacing w:line="560" w:lineRule="exact"/>
        <w:ind w:firstLine="640" w:firstLineChars="200"/>
        <w:jc w:val="both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(三)项目支出产出情况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通过控建拆违执法大队的日夜不间断巡逻及工作，使得新增违法建设零增长，存量违法建设负增长。</w:t>
      </w:r>
    </w:p>
    <w:p>
      <w:pPr>
        <w:spacing w:line="560" w:lineRule="exact"/>
        <w:ind w:firstLine="640" w:firstLineChars="200"/>
        <w:jc w:val="both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(四)项目支出效益情况</w:t>
      </w:r>
    </w:p>
    <w:p>
      <w:pPr>
        <w:spacing w:line="560" w:lineRule="exact"/>
        <w:ind w:firstLine="640" w:firstLineChars="200"/>
        <w:jc w:val="both"/>
        <w:rPr>
          <w:rFonts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为实现新增违法建设零增长，存量违法建设负增长做出巨大贡献。</w:t>
      </w:r>
    </w:p>
    <w:p>
      <w:pPr>
        <w:spacing w:line="560" w:lineRule="exact"/>
        <w:ind w:firstLine="562" w:firstLineChars="200"/>
        <w:outlineLvl w:val="0"/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五、主要经验及做法、存在的问题及原因分析</w:t>
      </w:r>
    </w:p>
    <w:p>
      <w:pPr>
        <w:pStyle w:val="2"/>
        <w:spacing w:line="560" w:lineRule="exact"/>
        <w:ind w:firstLine="640" w:firstLineChars="200"/>
        <w:rPr>
          <w:rFonts w:hint="eastAsia" w:ascii="Arial" w:hAnsi="Arial" w:eastAsia="仿宋_GB2312" w:cs="Arial"/>
          <w:sz w:val="32"/>
          <w:szCs w:val="32"/>
          <w:lang w:eastAsia="zh-CN"/>
        </w:rPr>
      </w:pPr>
      <w:r>
        <w:rPr>
          <w:rFonts w:hint="eastAsia" w:ascii="Arial" w:hAnsi="Arial" w:eastAsia="仿宋_GB2312" w:cs="Arial"/>
          <w:sz w:val="32"/>
          <w:szCs w:val="32"/>
          <w:lang w:eastAsia="zh-CN"/>
        </w:rPr>
        <w:t>（一）加强组织纪律，成立指挥部专门管控控建拆违项目；</w:t>
      </w:r>
    </w:p>
    <w:p>
      <w:pPr>
        <w:pStyle w:val="2"/>
        <w:spacing w:line="560" w:lineRule="exact"/>
        <w:ind w:firstLine="640" w:firstLineChars="200"/>
        <w:rPr>
          <w:rFonts w:ascii="Arial" w:hAnsi="Arial" w:eastAsia="仿宋_GB2312" w:cs="Arial"/>
          <w:sz w:val="32"/>
          <w:szCs w:val="32"/>
          <w:lang w:eastAsia="zh-CN"/>
        </w:rPr>
      </w:pPr>
      <w:r>
        <w:rPr>
          <w:rFonts w:hint="eastAsia" w:ascii="Arial" w:hAnsi="Arial" w:eastAsia="仿宋_GB2312" w:cs="Arial"/>
          <w:sz w:val="32"/>
          <w:szCs w:val="32"/>
          <w:lang w:eastAsia="zh-CN"/>
        </w:rPr>
        <w:t>（二）做好资金保障工作。</w:t>
      </w:r>
    </w:p>
    <w:p>
      <w:pPr>
        <w:spacing w:line="560" w:lineRule="exact"/>
        <w:ind w:firstLine="562" w:firstLineChars="200"/>
        <w:outlineLvl w:val="0"/>
        <w:rPr>
          <w:rFonts w:hint="eastAsia" w:ascii="黑体" w:hAnsi="黑体" w:eastAsia="黑体" w:cs="黑体"/>
          <w:b/>
          <w:bCs/>
          <w:spacing w:val="-15"/>
          <w:sz w:val="31"/>
          <w:szCs w:val="31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六、有关建议</w:t>
      </w:r>
    </w:p>
    <w:p>
      <w:pPr>
        <w:pStyle w:val="2"/>
        <w:spacing w:line="560" w:lineRule="exact"/>
        <w:ind w:firstLine="640" w:firstLineChars="200"/>
        <w:rPr>
          <w:rFonts w:ascii="Arial" w:hAnsi="Arial" w:eastAsia="仿宋_GB2312" w:cs="Arial"/>
          <w:sz w:val="32"/>
          <w:szCs w:val="32"/>
          <w:lang w:eastAsia="zh-CN"/>
        </w:rPr>
      </w:pPr>
      <w:r>
        <w:rPr>
          <w:rFonts w:hint="eastAsia" w:ascii="Arial" w:hAnsi="Arial" w:eastAsia="仿宋_GB2312" w:cs="Arial"/>
          <w:sz w:val="32"/>
          <w:szCs w:val="32"/>
          <w:lang w:eastAsia="zh-CN"/>
        </w:rPr>
        <w:t>无。</w:t>
      </w:r>
    </w:p>
    <w:p>
      <w:pPr>
        <w:pStyle w:val="2"/>
        <w:spacing w:line="560" w:lineRule="exact"/>
        <w:ind w:firstLine="562" w:firstLineChars="200"/>
        <w:rPr>
          <w:rFonts w:eastAsia="仿宋_GB2312"/>
          <w:sz w:val="32"/>
          <w:szCs w:val="32"/>
          <w:lang w:eastAsia="zh-CN"/>
        </w:rPr>
      </w:pPr>
      <w:r>
        <w:rPr>
          <w:rFonts w:ascii="黑体" w:hAnsi="黑体" w:eastAsia="黑体" w:cs="黑体"/>
          <w:b/>
          <w:bCs/>
          <w:spacing w:val="-15"/>
          <w:sz w:val="31"/>
          <w:szCs w:val="31"/>
          <w:lang w:eastAsia="zh-CN"/>
        </w:rPr>
        <w:t>七、其他需要说明的问题</w:t>
      </w:r>
    </w:p>
    <w:p>
      <w:pPr>
        <w:pStyle w:val="2"/>
        <w:spacing w:line="560" w:lineRule="exact"/>
        <w:ind w:firstLine="640" w:firstLineChars="200"/>
        <w:rPr>
          <w:rFonts w:ascii="Arial" w:hAnsi="Arial" w:eastAsia="仿宋_GB2312" w:cs="Arial"/>
          <w:sz w:val="32"/>
          <w:szCs w:val="32"/>
          <w:lang w:eastAsia="zh-CN"/>
        </w:rPr>
      </w:pPr>
      <w:r>
        <w:rPr>
          <w:rFonts w:hint="eastAsia" w:ascii="Arial" w:hAnsi="Arial" w:eastAsia="仿宋_GB2312" w:cs="Arial"/>
          <w:sz w:val="32"/>
          <w:szCs w:val="32"/>
          <w:lang w:eastAsia="zh-CN"/>
        </w:rPr>
        <w:t>无。</w:t>
      </w:r>
    </w:p>
    <w:p>
      <w:pPr>
        <w:rPr>
          <w:lang w:eastAsia="zh-CN"/>
        </w:rPr>
      </w:pPr>
    </w:p>
    <w:sectPr>
      <w:footerReference r:id="rId4" w:type="default"/>
      <w:pgSz w:w="11900" w:h="16820"/>
      <w:pgMar w:top="1755" w:right="1227" w:bottom="1485" w:left="1011" w:header="0" w:footer="91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7" w:lineRule="auto"/>
      <w:jc w:val="right"/>
      <w:rPr>
        <w:rFonts w:ascii="宋体" w:hAnsi="宋体" w:eastAsia="宋体" w:cs="宋体"/>
        <w:sz w:val="31"/>
        <w:szCs w:val="3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274"/>
      <w:rPr>
        <w:rFonts w:ascii="宋体" w:hAnsi="宋体" w:eastAsia="宋体" w:cs="宋体"/>
        <w:sz w:val="31"/>
        <w:szCs w:val="3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U0ZmZlZTEyYzZiODMwNTZlM2VmMzMxNTExOTMxZTMifQ=="/>
  </w:docVars>
  <w:rsids>
    <w:rsidRoot w:val="009952F6"/>
    <w:rsid w:val="003729FC"/>
    <w:rsid w:val="005145AE"/>
    <w:rsid w:val="00871E99"/>
    <w:rsid w:val="009952F6"/>
    <w:rsid w:val="009A4A72"/>
    <w:rsid w:val="00A920E9"/>
    <w:rsid w:val="00AB7621"/>
    <w:rsid w:val="00DD68A7"/>
    <w:rsid w:val="00EF4A5A"/>
    <w:rsid w:val="00F04BA8"/>
    <w:rsid w:val="03F504A6"/>
    <w:rsid w:val="226070D0"/>
    <w:rsid w:val="2D37256B"/>
    <w:rsid w:val="379701E2"/>
    <w:rsid w:val="47A03007"/>
    <w:rsid w:val="6AF63CD3"/>
    <w:rsid w:val="707557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4"/>
      <w:szCs w:val="3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8">
    <w:name w:val="页脚 Char"/>
    <w:basedOn w:val="6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1144</Words>
  <Characters>1157</Characters>
  <Lines>1</Lines>
  <Paragraphs>2</Paragraphs>
  <TotalTime>27</TotalTime>
  <ScaleCrop>false</ScaleCrop>
  <LinksUpToDate>false</LinksUpToDate>
  <CharactersWithSpaces>1170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2024-05-30T09:17:00Z</dcterms:created>
  <dc:creator>Administrator</dc:creator>
  <cp:lastModifiedBy>企业用户_615845838</cp:lastModifiedBy>
  <dcterms:modified xsi:type="dcterms:W3CDTF">2024-07-03T09:18:55Z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314D914387394D0FB6F8D31A66AB0281_12</vt:lpwstr>
  </property>
</Properties>
</file>